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980148" w:rsidRPr="007F5BE5" w:rsidTr="007F03F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46317" w:rsidRPr="007F5BE5" w:rsidRDefault="007F03F6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BE5">
              <w:rPr>
                <w:rFonts w:ascii="Times New Roman" w:hAnsi="Times New Roman" w:cs="Times New Roman"/>
                <w:b/>
                <w:sz w:val="24"/>
                <w:szCs w:val="24"/>
              </w:rPr>
              <w:t>7 мая 2018 года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D46317" w:rsidRPr="007F5BE5" w:rsidRDefault="00980148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BE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2B19E6" w:rsidRPr="007F5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F03F6" w:rsidRPr="007F5BE5">
              <w:rPr>
                <w:rFonts w:ascii="Times New Roman" w:hAnsi="Times New Roman" w:cs="Times New Roman"/>
                <w:b/>
                <w:sz w:val="24"/>
                <w:szCs w:val="24"/>
              </w:rPr>
              <w:t>204</w:t>
            </w:r>
          </w:p>
        </w:tc>
      </w:tr>
    </w:tbl>
    <w:p w:rsidR="00D46317" w:rsidRPr="00980148" w:rsidRDefault="00D46317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D46317" w:rsidRPr="00980148" w:rsidRDefault="00D4631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46317" w:rsidRPr="00980148" w:rsidRDefault="007F03F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УКАЗ</w:t>
      </w:r>
    </w:p>
    <w:p w:rsidR="00D46317" w:rsidRPr="00980148" w:rsidRDefault="00D46317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D46317" w:rsidRPr="00980148" w:rsidRDefault="007F03F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ПРЕЗИДЕНТА РОССИЙСКОЙ ФЕДЕРАЦИИ</w:t>
      </w:r>
    </w:p>
    <w:p w:rsidR="00D46317" w:rsidRPr="00980148" w:rsidRDefault="00D46317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D46317" w:rsidRPr="00980148" w:rsidRDefault="007F03F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О НАЦИОНАЛЬНЫХ ЦЕЛЯХ И СТРАТЕГИЧЕСКИХ ЗАДАЧАХ</w:t>
      </w:r>
    </w:p>
    <w:p w:rsidR="00D46317" w:rsidRPr="00980148" w:rsidRDefault="007F03F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РАЗВИТИЯ РОССИЙСКОЙ ФЕДЕРАЦИИ НА ПЕРИОД ДО 2024 ГОДА</w:t>
      </w:r>
    </w:p>
    <w:p w:rsidR="00D46317" w:rsidRPr="00980148" w:rsidRDefault="00D46317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80148" w:rsidRPr="00980148" w:rsidTr="00980148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317" w:rsidRPr="00980148" w:rsidRDefault="00D463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317" w:rsidRPr="00980148" w:rsidRDefault="00D463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6317" w:rsidRPr="00980148" w:rsidRDefault="007F03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148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D46317" w:rsidRPr="00980148" w:rsidRDefault="007F03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148">
              <w:rPr>
                <w:rFonts w:ascii="Times New Roman" w:hAnsi="Times New Roman" w:cs="Times New Roman"/>
                <w:sz w:val="24"/>
                <w:szCs w:val="24"/>
              </w:rPr>
              <w:t xml:space="preserve">(в ред. Указов Президента РФ от 19.07.2018 </w:t>
            </w:r>
            <w:hyperlink r:id="rId6" w:tooltip="Указ Президента РФ от 19.07.2018 N 444 (ред. от 20.07.2021) &quot;Об упорядочении деятельности совещательных и консультативных органов при Президенте Российской Федерации&quot; (вместе с &quot;Положением о Совете при Президенте Российской Федерации по стратегическому развити">
              <w:r w:rsidR="00980148">
                <w:rPr>
                  <w:rFonts w:ascii="Times New Roman" w:hAnsi="Times New Roman" w:cs="Times New Roman"/>
                  <w:sz w:val="24"/>
                  <w:szCs w:val="24"/>
                </w:rPr>
                <w:t>№</w:t>
              </w:r>
              <w:r w:rsidRPr="00980148">
                <w:rPr>
                  <w:rFonts w:ascii="Times New Roman" w:hAnsi="Times New Roman" w:cs="Times New Roman"/>
                  <w:sz w:val="24"/>
                  <w:szCs w:val="24"/>
                </w:rPr>
                <w:t xml:space="preserve"> 444</w:t>
              </w:r>
            </w:hyperlink>
            <w:r w:rsidRPr="009801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46317" w:rsidRPr="00980148" w:rsidRDefault="007F03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148">
              <w:rPr>
                <w:rFonts w:ascii="Times New Roman" w:hAnsi="Times New Roman" w:cs="Times New Roman"/>
                <w:sz w:val="24"/>
                <w:szCs w:val="24"/>
              </w:rPr>
              <w:t xml:space="preserve">от 21.07.2020 </w:t>
            </w:r>
            <w:hyperlink r:id="rId7" w:tooltip="Указ Президента РФ от 21.07.2020 N 474 &quot;О национальных целях развития Российской Федерации на период до 2030 года&quot; {КонсультантПлюс}">
              <w:r w:rsidR="00980148">
                <w:rPr>
                  <w:rFonts w:ascii="Times New Roman" w:hAnsi="Times New Roman" w:cs="Times New Roman"/>
                  <w:sz w:val="24"/>
                  <w:szCs w:val="24"/>
                </w:rPr>
                <w:t>№</w:t>
              </w:r>
              <w:r w:rsidRPr="00980148">
                <w:rPr>
                  <w:rFonts w:ascii="Times New Roman" w:hAnsi="Times New Roman" w:cs="Times New Roman"/>
                  <w:sz w:val="24"/>
                  <w:szCs w:val="24"/>
                </w:rPr>
                <w:t xml:space="preserve"> 474</w:t>
              </w:r>
            </w:hyperlink>
            <w:r w:rsidRPr="009801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317" w:rsidRPr="00980148" w:rsidRDefault="00D463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6317" w:rsidRPr="00980148" w:rsidRDefault="00D4631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46317" w:rsidRPr="00980148" w:rsidRDefault="007F03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В целях осуществления прорывного научно-технологического и социально-экономического развития Российской Федерации, увеличения численности населения страны, повышения уровня жизни граждан, создания комфортных условий для их проживания, а также условий и возможностей для самореализации и раскрытия таланта каждого человека постановляю: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15"/>
      <w:bookmarkEnd w:id="0"/>
      <w:r w:rsidRPr="00980148">
        <w:rPr>
          <w:rFonts w:ascii="Times New Roman" w:hAnsi="Times New Roman" w:cs="Times New Roman"/>
          <w:sz w:val="24"/>
          <w:szCs w:val="24"/>
        </w:rPr>
        <w:t xml:space="preserve">1. Утратил силу. - </w:t>
      </w:r>
      <w:hyperlink r:id="rId8" w:tooltip="Указ Президента РФ от 21.07.2020 N 474 &quot;О национальных целях развития Российской Федерации на период до 2030 года&quot; {КонсультантПлюс}">
        <w:r w:rsidRPr="00980148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Pr="00980148">
        <w:rPr>
          <w:rFonts w:ascii="Times New Roman" w:hAnsi="Times New Roman" w:cs="Times New Roman"/>
          <w:sz w:val="24"/>
          <w:szCs w:val="24"/>
        </w:rPr>
        <w:t xml:space="preserve"> Президента РФ от 21.07.2020 </w:t>
      </w:r>
      <w:r w:rsidR="00980148">
        <w:rPr>
          <w:rFonts w:ascii="Times New Roman" w:hAnsi="Times New Roman" w:cs="Times New Roman"/>
          <w:sz w:val="24"/>
          <w:szCs w:val="24"/>
        </w:rPr>
        <w:t>№</w:t>
      </w:r>
      <w:r w:rsidRPr="00980148">
        <w:rPr>
          <w:rFonts w:ascii="Times New Roman" w:hAnsi="Times New Roman" w:cs="Times New Roman"/>
          <w:sz w:val="24"/>
          <w:szCs w:val="24"/>
        </w:rPr>
        <w:t xml:space="preserve"> 474.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2. Правительству Российской Федерации: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 xml:space="preserve">а) утвердить до 1 октября 2018 г. </w:t>
      </w:r>
      <w:hyperlink r:id="rId9" w:tooltip="&quot;Основные направления деятельности Правительства Российской Федерации на период до 2024 года&quot; (утв. Правительством РФ 29.09.2018 N 8028п-П13) {КонсультантПлюс}">
        <w:r w:rsidRPr="00980148">
          <w:rPr>
            <w:rFonts w:ascii="Times New Roman" w:hAnsi="Times New Roman" w:cs="Times New Roman"/>
            <w:sz w:val="24"/>
            <w:szCs w:val="24"/>
          </w:rPr>
          <w:t>Основные направления</w:t>
        </w:r>
      </w:hyperlink>
      <w:r w:rsidRPr="00980148">
        <w:rPr>
          <w:rFonts w:ascii="Times New Roman" w:hAnsi="Times New Roman" w:cs="Times New Roman"/>
          <w:sz w:val="24"/>
          <w:szCs w:val="24"/>
        </w:rPr>
        <w:t xml:space="preserve"> деятельн</w:t>
      </w:r>
      <w:bookmarkStart w:id="1" w:name="_GoBack"/>
      <w:bookmarkEnd w:id="1"/>
      <w:r w:rsidRPr="00980148">
        <w:rPr>
          <w:rFonts w:ascii="Times New Roman" w:hAnsi="Times New Roman" w:cs="Times New Roman"/>
          <w:sz w:val="24"/>
          <w:szCs w:val="24"/>
        </w:rPr>
        <w:t xml:space="preserve">ости Правительства Российской Федерации на период до 2024 года и </w:t>
      </w:r>
      <w:hyperlink r:id="rId10" w:tooltip="&quot;Прогноз социально-экономического развития Российской Федерации на период до 2024 года&quot; (разработан Минэкономразвития России) {КонсультантПлюс}">
        <w:r w:rsidRPr="00980148">
          <w:rPr>
            <w:rFonts w:ascii="Times New Roman" w:hAnsi="Times New Roman" w:cs="Times New Roman"/>
            <w:sz w:val="24"/>
            <w:szCs w:val="24"/>
          </w:rPr>
          <w:t>прогноз</w:t>
        </w:r>
      </w:hyperlink>
      <w:r w:rsidRPr="00980148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Российской Федерации на период до 2024 года, предусмотрев механизмы и ресурсное обеспечение достижения национальных целей, определенных </w:t>
      </w:r>
      <w:hyperlink w:anchor="P15" w:tooltip="1. Утратил силу. - Указ Президента РФ от 21.07.2020 N 474.">
        <w:r w:rsidRPr="00980148">
          <w:rPr>
            <w:rFonts w:ascii="Times New Roman" w:hAnsi="Times New Roman" w:cs="Times New Roman"/>
            <w:sz w:val="24"/>
            <w:szCs w:val="24"/>
          </w:rPr>
          <w:t>пунктом 1</w:t>
        </w:r>
      </w:hyperlink>
      <w:r w:rsidRPr="00980148">
        <w:rPr>
          <w:rFonts w:ascii="Times New Roman" w:hAnsi="Times New Roman" w:cs="Times New Roman"/>
          <w:sz w:val="24"/>
          <w:szCs w:val="24"/>
        </w:rPr>
        <w:t xml:space="preserve"> настоящего Указа;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 xml:space="preserve">б) в соответствии с национальными целями, определенными </w:t>
      </w:r>
      <w:hyperlink w:anchor="P15" w:tooltip="1. Утратил силу. - Указ Президента РФ от 21.07.2020 N 474.">
        <w:r w:rsidRPr="00980148">
          <w:rPr>
            <w:rFonts w:ascii="Times New Roman" w:hAnsi="Times New Roman" w:cs="Times New Roman"/>
            <w:sz w:val="24"/>
            <w:szCs w:val="24"/>
          </w:rPr>
          <w:t>пунктом 1</w:t>
        </w:r>
      </w:hyperlink>
      <w:r w:rsidRPr="00980148">
        <w:rPr>
          <w:rFonts w:ascii="Times New Roman" w:hAnsi="Times New Roman" w:cs="Times New Roman"/>
          <w:sz w:val="24"/>
          <w:szCs w:val="24"/>
        </w:rPr>
        <w:t xml:space="preserve"> настоящего Указа, разработать (скорректировать) совместно с органами государственной власти субъектов Российской Федерации и представить до 1 октября 2018 г. для рассмотрения на заседании Совета при Президенте Российской Федерации по стратегическому развитию и национальным проектам национальные </w:t>
      </w:r>
      <w:hyperlink r:id="rId11" w:tooltip="Справочная информация: &quot;Перечень государственных программ, национальных и федеральных проектов, приоритетных программ и проектов в Российской Федерации&quot; (Материал подготовлен специалистами КонсультантПлюс) {КонсультантПлюс}">
        <w:r w:rsidRPr="00980148">
          <w:rPr>
            <w:rFonts w:ascii="Times New Roman" w:hAnsi="Times New Roman" w:cs="Times New Roman"/>
            <w:sz w:val="24"/>
            <w:szCs w:val="24"/>
          </w:rPr>
          <w:t>проекты</w:t>
        </w:r>
      </w:hyperlink>
      <w:r w:rsidRPr="00980148">
        <w:rPr>
          <w:rFonts w:ascii="Times New Roman" w:hAnsi="Times New Roman" w:cs="Times New Roman"/>
          <w:sz w:val="24"/>
          <w:szCs w:val="24"/>
        </w:rPr>
        <w:t xml:space="preserve"> (программы) по следующим направлениям:</w:t>
      </w:r>
    </w:p>
    <w:p w:rsidR="00D46317" w:rsidRPr="00980148" w:rsidRDefault="007F03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" w:tooltip="Указ Президента РФ от 19.07.2018 N 444 (ред. от 20.07.2021) &quot;Об упорядочении деятельности совещательных и консультативных органов при Президенте Российской Федерации&quot; (вместе с &quot;Положением о Совете при Президенте Российской Федерации по стратегическому развити">
        <w:r w:rsidRPr="00980148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980148">
        <w:rPr>
          <w:rFonts w:ascii="Times New Roman" w:hAnsi="Times New Roman" w:cs="Times New Roman"/>
          <w:sz w:val="24"/>
          <w:szCs w:val="24"/>
        </w:rPr>
        <w:t xml:space="preserve"> Президента РФ от 19.07.2018 </w:t>
      </w:r>
      <w:r w:rsidR="00980148">
        <w:rPr>
          <w:rFonts w:ascii="Times New Roman" w:hAnsi="Times New Roman" w:cs="Times New Roman"/>
          <w:sz w:val="24"/>
          <w:szCs w:val="24"/>
        </w:rPr>
        <w:t>№</w:t>
      </w:r>
      <w:r w:rsidRPr="00980148">
        <w:rPr>
          <w:rFonts w:ascii="Times New Roman" w:hAnsi="Times New Roman" w:cs="Times New Roman"/>
          <w:sz w:val="24"/>
          <w:szCs w:val="24"/>
        </w:rPr>
        <w:t xml:space="preserve"> 444)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демография;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здравоохранение;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образование;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жилье и городская среда;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экология;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безопасные и качественные автомобильные дороги;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производительность труда и поддержка занятости;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наука;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цифровая экономика;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культура;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lastRenderedPageBreak/>
        <w:t>малое и среднее предпринимательство и поддержка индивидуальной предпринимательской инициативы;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международная кооперация и экспорт.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3. Правительству Российской Федерации при разработке национальной программы в сфере демографического развития исходить из того, что в 2024 году необходимо обеспечить: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а) достижение следующих целей и целевых показателей: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увеличение ожидаемой продолжительности здоровой жизни до 67 лет;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увеличение суммарного коэффициента рождаемости до 1,7;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увеличение доли граждан, ведущих здоровый образ жизни, а также увеличение до 55 процентов доли граждан, систематически занимающихся физической культурой и спортом;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б) решение следующих задач: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внедрение механизма финансовой поддержки семей при рождении детей;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создание условий для осуществления трудовой деятельности женщин, имеющих детей, включая достижение 100-процентной доступности (к 2021 году) дошкольного образования для детей в возрасте до трех лет;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разработка и реализация программы системной поддержки и повышения качества жизни граждан старшего поколения;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формирование системы мотивации граждан к здоровому образу жизни, включая здоровое питание и отказ от вредных привычек;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создание для всех категорий и групп населения условий для занятий физической культурой и спортом, массовым спортом, в том числе повышение уровня обеспеченности населения объектами спорта, а также подготовка спортивного резерва.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4. Правительству Российской Федерации при разработке национального проекта в сфере здравоохранения исходить из того, что в 2024 году необходимо обеспечить: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а) достижение следующих целей и целевых показателей: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снижение показателей смертности населения трудоспособного возраста (до 350 случаев на 100 тыс. населения), смертности от болезней системы кровообращения (до 450 случаев на 100 тыс. населения), смертности от новообразований, в том числе от злокачественных (до 185 случаев на 100 тыс. населения), младенческой смертности (до 4,5 случая на 1 тыс. родившихся детей);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ликвидация кадрового дефицита в медицинских организациях, оказывающих первичную медико-санитарную помощь;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обеспечение охвата всех граждан профилактическими медицинскими осмотрами не реже одного раза в год;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обеспечение оптимальной доступности для населения (в том числе для жителей населенных пунктов, расположенных в отдаленных местностях) медицинских организаций, оказывающих первичную медико-санитарную помощь;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оптимизация работы медицинских организаций, оказывающих первичную медико-санитарную помощь, сокращение времени ожидания в очереди при обращении граждан в указанные медицинские организации, упрощение процедуры записи на прием к врачу;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lastRenderedPageBreak/>
        <w:t>увеличение объема экспорта медицинских услуг не менее чем в четыре раза по сравнению с 2017 годом (до 1 млрд. долларов США в год);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б) решение следующих задач: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завершение формирования сети медицинских организаций первичного звена здравоохранения с использованием в сфере здравоохранения геоинформационной системы с учетом необходимости строительства врачебных амбулаторий, фельдшерских и фельдшерско-акушерских пунктов в населенных пунктах с численностью населения от 100 человек до 2 тыс. человек, а также с учетом использования мобильных медицинских комплексов в населенных пунктах с численностью населения менее 100 человек;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завершение формирования сети национальных медицинских исследовательских центров;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создание механизмов взаимодействия медицинских организаций на основе единой государственной информационной системы в сфере здравоохранения;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внедрение инновационных медицинских технологий, включая систему ранней диагностики и дистанционный мониторинг состояния здоровья пациентов;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обеспечение медицинских организаций системы здравоохранения квалифицированными кадрами, включая внедрение системы непрерывного образования медицинских работников, в том числе с использованием дистанционных образовательных технологий;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 xml:space="preserve">внедрение </w:t>
      </w:r>
      <w:hyperlink r:id="rId13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 w:rsidRPr="00980148">
          <w:rPr>
            <w:rFonts w:ascii="Times New Roman" w:hAnsi="Times New Roman" w:cs="Times New Roman"/>
            <w:sz w:val="24"/>
            <w:szCs w:val="24"/>
          </w:rPr>
          <w:t>клинических рекомендаций</w:t>
        </w:r>
      </w:hyperlink>
      <w:r w:rsidRPr="00980148">
        <w:rPr>
          <w:rFonts w:ascii="Times New Roman" w:hAnsi="Times New Roman" w:cs="Times New Roman"/>
          <w:sz w:val="24"/>
          <w:szCs w:val="24"/>
        </w:rPr>
        <w:t xml:space="preserve"> и протоколов лечения и их использование в целях формирования тарифов на оплату медицинской помощи;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разработка и реализация программ борьбы с онкологическими заболеваниями, сердечно-сосудистыми заболеваниями, развития детского здравоохранения, включая создание современной инфраструктуры оказания медицинской помощи детям;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формирование системы защиты прав пациентов;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совершенствование механизма экспорта медицинских услуг.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5. Правительству Российской Федерации при разработке национального проекта в сфере образования исходить из того, что в 2024 году необходимо обеспечить: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а) достижение следующих целей и целевых показателей: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обеспечение глобальной конкурентоспособности российского образования, вхождение Российской Федерации в число 10 ведущих стран мира по качеству общего образования;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б) решение следующих задач: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внедрение на уровнях основного общего и среднего общего образования новых методов обучения и воспитания, образовательных технологий, обеспечивающих освоение обучающимися базовых навыков и умений, повышение их мотивации к обучению и вовлеченности в образовательный процесс, а также обновление содержания и совершенствование методов обучения предметной области "Технология";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 xml:space="preserve"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</w:t>
      </w:r>
      <w:r w:rsidRPr="00980148">
        <w:rPr>
          <w:rFonts w:ascii="Times New Roman" w:hAnsi="Times New Roman" w:cs="Times New Roman"/>
          <w:sz w:val="24"/>
          <w:szCs w:val="24"/>
        </w:rPr>
        <w:lastRenderedPageBreak/>
        <w:t>направленной на самоопределение и профессиональную ориентацию всех обучающихся;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создание условий для раннего развития детей в возрасте до трех лет, реализация программы психолого-педагогической, методической и консультативной помощи родителям детей, получающих дошкольное образование в семье;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создание современной и безопасной цифровой образовательной среды, обеспечивающей высокое качество и доступность образования всех видов и уровней;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 xml:space="preserve">внедрение национальной </w:t>
      </w:r>
      <w:hyperlink r:id="rId14" w:tooltip="Распоряжение Правительства РФ от 31.12.2019 N 3273-р (ред. от 20.08.2021) &lt;Об утверждении основных принципов национальной системы профессионального роста педагогических работников РФ, включая национальную систему учительского роста&gt; {КонсультантПлюс}">
        <w:r w:rsidRPr="00980148">
          <w:rPr>
            <w:rFonts w:ascii="Times New Roman" w:hAnsi="Times New Roman" w:cs="Times New Roman"/>
            <w:sz w:val="24"/>
            <w:szCs w:val="24"/>
          </w:rPr>
          <w:t>системы</w:t>
        </w:r>
      </w:hyperlink>
      <w:r w:rsidRPr="00980148">
        <w:rPr>
          <w:rFonts w:ascii="Times New Roman" w:hAnsi="Times New Roman" w:cs="Times New Roman"/>
          <w:sz w:val="24"/>
          <w:szCs w:val="24"/>
        </w:rPr>
        <w:t xml:space="preserve"> профессионального роста педагогических работников, охватывающей не менее 50 процентов учителей общеобразовательных организаций;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модернизация профессионального образования, в том числе посредством внедрения адаптивных, практико-ориентированных и гибких образовательных программ;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навыков, включая овладение компетенциями в области цифровой экономики всеми желающими;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формирование системы профессиональных конкурсов в целях предоставления гражданам возможностей для профессионального и карьерного роста;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создание условий для развития наставничества, поддержки общественных инициатив и проектов, в том числе в сфере добровольчества (волонтерства);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увеличение не менее чем в два раза количества иностранных граждан, обучающихся в образовательных организациях высшего образования и научных организациях, а также реализация комплекса мер по трудоустройству лучших из них в Российской Федерации.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6. Правительству Российской Федерации при разработке национального проекта в сфере жилья и городской среды исходить из того, что в 2024 году необходимо обеспечить: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а) достижение следующих целей и целевых показателей: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обеспечение доступным жильем семей со средним достатком, в том числе создание возможностей для приобретения (строительства) ими жилья с использованием ипотечного кредита, ставка по которому должна быть менее 8 процентов;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увеличение объема жилищного строительства не менее чем до 120 млн. квадратных метров в год;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кардинальное повышение комфортности городской среды, повышение индекса качества городской среды на 30 процентов, сокращение в соответствии с этим индексом количества городов с неблагоприятной средой в два раза;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создание механизма прямого участия граждан в формировании комфортной городской среды, увеличение доли граждан, принимающих участие в решении вопросов развития городской среды, до 30 процентов;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обеспечение устойчивого сокращения непригодного для проживания жилищного фонда;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б) решение следующих задач: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 xml:space="preserve">совершенствование механизмов финансирования жилищного строительства, в том числе посредством развития рынка ипотечных ценных бумаг и поэтапного перехода от привлечения денежных средств для долевого строительства многоквартирных домов и иных объектов недвижимости к другим формам финансирования жилищного строительства, обеспечивающим </w:t>
      </w:r>
      <w:r w:rsidRPr="00980148">
        <w:rPr>
          <w:rFonts w:ascii="Times New Roman" w:hAnsi="Times New Roman" w:cs="Times New Roman"/>
          <w:sz w:val="24"/>
          <w:szCs w:val="24"/>
        </w:rPr>
        <w:lastRenderedPageBreak/>
        <w:t>защиту прав граждан и снижение рисков для них;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модернизация строительной отрасли и повышение качества индустриального жилищного строительства, в том числе посредством установления ограничений на использование устаревших технологий и стимулирования внедрения передовых технологий в проектировании и строительстве, совершенствование механизмов государственной поддержки строительства стандартного жилья;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снижение административной нагрузки на застройщиков, совершенствование нормативно-правовой базы и порядка регулирования деятельности в сфере жилищного строительства;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обеспечение эффективного использования земель в целях массового жилищного строительства при условии сохранения и развития зеленого фонда и территорий, на которых располагаются природные объекты, имеющие экологическое, историко-культурное, рекреационное, оздоровительное и иное ценное значение;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создание механизмов развития комфортной городской среды, комплексного развития городов и других населенных пунктов с учетом индекса качества городской среды;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создание механизмов переселения граждан из непригодного для проживания жилищного фонда, обеспечивающих соблюдение их жилищных прав, установленных законодательством Российской Федерации.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7. Правительству Российской Федерации при разработке национального проекта в сфере экологии исходить из того, что в 2024 году необходимо обеспечить: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а) достижение следующих целей и целевых показателей: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эффективное обращение с отходами производства и потребления, включая ликвидацию всех выявленных на 1 января 2018 г. несанкционированных свалок в границах городов;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кардинальное снижение уровня загрязнения атмосферного воздуха в крупных промышленных центрах, в том числе уменьшение не менее чем на 20 процентов совокупного объема выбросов загрязняющих веществ в атмосферный воздух в наиболее загрязненных городах;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повышение качества питьевой воды для населения, в том числе для жителей населенных пунктов, не оборудованных современными системами централизованного водоснабжения;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экологическое оздоровление водных объектов, включая реку Волгу, и сохранение уникальных водных систем, включая озера Байкал и Телецкое;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сохранение биологического разнообразия, в том числе посредством создания не менее 24 новых особо охраняемых природных территорий;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б) решение следующих задач:</w:t>
      </w:r>
    </w:p>
    <w:p w:rsidR="00D46317" w:rsidRPr="00980148" w:rsidRDefault="007F03F6">
      <w:pPr>
        <w:pStyle w:val="ConsPlusNormal"/>
        <w:spacing w:before="2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формирование комплексной системы обращения с твердыми коммунальными отходами, включая ликвидацию свалок и рекультивацию территорий, на которых они размещены, создание условий для вторичной переработки всех запрещенных к захоронению отходов производства и потребления;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создание и эффективное функционирование во всех субъектах Российской Федерации системы общественного контроля, направленной на выявление и ликвидацию несанкционированных свалок;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 xml:space="preserve">создание современной инфраструктуры, обеспечивающей безопасное обращение с отходами I и II классов опасности, и ликвидация наиболее опасных объектов накопленного экологического </w:t>
      </w:r>
      <w:r w:rsidRPr="00980148">
        <w:rPr>
          <w:rFonts w:ascii="Times New Roman" w:hAnsi="Times New Roman" w:cs="Times New Roman"/>
          <w:sz w:val="24"/>
          <w:szCs w:val="24"/>
        </w:rPr>
        <w:lastRenderedPageBreak/>
        <w:t>вреда;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реализация комплексных планов мероприятий по снижению выбросов загрязняющих веществ в атмосферный воздух в крупных промышленных центрах, включая города Братск, Красноярск, Липецк, Магнитогорск, Медногорск, Нижний Тагил, Новокузнецк, Норильск, Омск, Челябинск, Череповец и Читу, с учетом сводных расчетов допустимого в этих городах негативного воздействия на окружающую среду;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применение всеми объектами, оказывающими значительное негативное воздействие на окружающую среду, системы экологического регулирования, основанной на использовании наилучших доступных технологий;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повышение качества питьевой воды посредством модернизации систем водоснабжения с использованием перспективных технологий водоподготовки, включая технологии, разработанные организациями оборонно-промышленного комплекса;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экологическая реабилитация водных объектов, в том числе реализация проекта, направленного на сокращение в три раза доли загрязненных сточных вод, отводимых в реку Волгу, устойчивое функционирование водохозяйственного комплекса Нижней Волги и сохранение экосистемы Волго-Ахтубинской поймы;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сохранение уникальных водных объектов, в том числе реализация проекта по сохранению озера Байкал, а также мероприятий по очистке от мусора берегов и прибрежной акватории озер Байкал, Телецкое, Ладожское, Онежское и рек Волги, Дона, Оби, Енисея, Амура, Урала, Печоры;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сохранение биологического разнообразия, включая увеличение площади особо охраняемых природных территорий на 5 млн. гектаров, реинтродукцию редких видов животных, создание инфраструктуры для экологического туризма в национальных парках, а также сохранение лесов, в том числе на основе их воспроизводства на всех участках вырубленных и погибших лесных насаждений.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8. Правительству Российской Федерации при разработке национального проекта по созданию безопасных и качественных автомобильных дорог исходить из того, что в 2024 году необходимо обеспечить: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а) достижение следующих целей и целевых показателей: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увеличение доли автомобильных дорог регионального значения, соответствующих нормативным требованиям, в их общей протяженности не менее чем до 50 процентов (относительно их протяженности по состоянию на 31 декабря 2017 г.), а также утверждение органами государственной власти субъектов Российской Федерации таких нормативов исходя из установленных на федеральном уровне требований безопасности автомобильных дорог;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снижение доли автомобильных дорог федерального и регионального значения, работающих в режиме перегрузки, в их общей протяженности на 10 процентов по сравнению с 2017 годом;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снижение количества мест концентрации дорожно-транспортных происшествий (аварийно-опасных участков) на дорожной сети в два раза по сравнению с 2017 годом;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снижение смертности в результате дорожно-транспортных происшествий в 3,5 раза по сравнению с 2017 годом - до уровня, не превышающего четырех человек на 100 тыс. населения (к 2030 году - стремление к нулевому уровню смертности);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б) решение следующих задач: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доведение в крупнейших городских агломерациях доли автомобильных дорог, соответствующих нормативным требованиям, в их общей протяженности до 85 процентов;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lastRenderedPageBreak/>
        <w:t>применение новых механизмов развития и эксплуатации дорожной сети, включая использование инфраструктурной ипотеки, контрактов жизненного цикла, наилучших технологий и материалов;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доведение норматива зачисления налоговых доходов бюджетов субъектов Российской Федерации от акцизов на горюче-смазочные материалы до 100 процентов;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внедрение общедоступной информационной системы контроля за формированием и использованием средств дорожных фондов всех уровней (в 2019 году);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создание механизмов экономического стимулирования сохранности автомобильных дорог регионального и местного значения;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внедрение новых технических требований и стандартов обустройства автомобильных дорог, в том числе на основе цифровых технологий, направленных на устранение мест концентрации дорожно-транспортных происшествий;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внедрение автоматизированных и роботизированных технологий организации дорожного движения и контроля за соблюдением правил дорожного движения;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усиление ответственности водителей за нарушение правил дорожного движения, а также повышение требований к уровню их профессиональной подготовки.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 xml:space="preserve">9. Правительству Российской Федерации при реализации совместно с органами государственной власти субъектов Российской Федерации национальной </w:t>
      </w:r>
      <w:hyperlink r:id="rId15" w:tooltip="&quot;Паспорт приоритетной программы &quot;Повышение производительности труда и поддержка занятости&quot; (утв. президиумом Совета при Президенте РФ по стратегическому развитию и приоритетным проектам, протокол от 30.08.2017 N 9) {КонсультантПлюс}">
        <w:r w:rsidRPr="00980148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980148">
        <w:rPr>
          <w:rFonts w:ascii="Times New Roman" w:hAnsi="Times New Roman" w:cs="Times New Roman"/>
          <w:sz w:val="24"/>
          <w:szCs w:val="24"/>
        </w:rPr>
        <w:t xml:space="preserve"> в сфере повышения производительности труда и поддержки занятости обеспечить в 2024 году: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а) достижение следующих целей и целевых показателей: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рост производительности труда на средних и крупных предприятиях базовых несырьевых отраслей экономики не ниже 5 процентов в год;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привлечение к участию в реализации указанной национальной программы не менее 10 субъектов Российской Федерации ежегодно;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вовлечение в реализацию указанной национальной программы не менее 10 тыс. средних и крупных предприятий базовых несырьевых отраслей экономики;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б) решение следующих задач: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стимулирование внедрения передовых управленческих, организационных и технологических решений для повышения производительности труда и модернизации основных фондов, в том числе посредством предоставления налоговых преференций;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сокращение нормативно-правовых и административных ограничений, препятствующих росту производительности труда, а также замещение устаревших и непроизводительных рабочих мест;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формирование системы методической и организационной поддержки повышения производительности труда на предприятиях;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формирование системы подготовки кадров, направленной на обучение основам повышения производительности труда, в том числе посредством использования цифровых технологий и платформенных решений.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10. Правительству Российской Федерации при разработке национального проекта в сфере науки исходить из того, что в 2024 году необходимо обеспечить: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а) достижение следующих целей и целевых показателей: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lastRenderedPageBreak/>
        <w:t>обеспечение присутствия Российской Федерации в числе пяти ведущих стран мира, осуществляющих научные исследования и разработки в областях, определяемых приоритетами научно-технологического развития;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обеспечение привлекательности работы в Российской Федерации для российских и зарубежных ведущих ученых и молодых перспективных исследователей;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опережающее увеличение внутренних затрат на научные исследования и разработки за счет всех источников по сравнению с ростом валового внутреннего продукта страны;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б) решение следующих задач: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создание передовой инфраструктуры научных исследований и разработок, инновационной деятельности, включая создание и развитие сети уникальных научных установок класса "мегасайенс";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обновление не менее 50 процентов приборной базы ведущих организаций, выполняющих научные исследования и разработки;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создание научных центров мирового уровня, включая сеть международных математических центров и центров геномных исследований;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создание не менее 15 научно-образовательных центров мирового уровня на основе интеграции университетов и научных организаций и их кооперации с организациями, действующими в реальном секторе экономики;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формирование целостной системы подготовки и профессионального роста научных и научно-педагогических кадров, обеспечивающей условия для осуществления молодыми учеными научных исследований и разработок, создания научных лабораторий и конкурентоспособных коллективов.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 xml:space="preserve">11. Правительству Российской Федерации при реализации совместно с органами государственной власти субъектов Российской Федерации национальной </w:t>
      </w:r>
      <w:hyperlink r:id="rId16" w:tooltip="&quot;Паспорт национального проекта &quot;Национальная программа &quot;Цифровая экономика Российской Федерации&quot; (утв. президиумом Совета при Президенте РФ по стратегическому развитию и национальным проектам, протокол от 04.06.2019 N 7) {КонсультантПлюс}">
        <w:r w:rsidRPr="00980148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980148">
        <w:rPr>
          <w:rFonts w:ascii="Times New Roman" w:hAnsi="Times New Roman" w:cs="Times New Roman"/>
          <w:sz w:val="24"/>
          <w:szCs w:val="24"/>
        </w:rPr>
        <w:t xml:space="preserve"> "Цифровая экономика Российской Федерации" обеспечить в 2024 году: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а) достижение следующих целей и целевых показателей: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увеличение внутренних затрат на развитие цифровой экономики за счет всех источников (по доле в валовом внутреннем продукте страны) не менее чем в три раза по сравнению с 2017 годом;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всех организаций и домохозяйств;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использование преимущественно отечественного программного обеспечения государственными органами, органами местного самоуправления и организациями;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б) решение следующих задач: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создание системы правового регулирования цифровой экономики, основанного на гибком подходе в каждой сфере, а также внедрение гражданского оборота на базе цифровых технологий;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создание глобальной конкурентоспособной инфраструктуры передачи, обработки и хранения данных преимущественно на основе отечественных разработок;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обеспечение подготовки высококвалифицированных кадров для цифровой экономики;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 xml:space="preserve">обеспечение информационной безопасности на основе отечественных разработок при </w:t>
      </w:r>
      <w:r w:rsidRPr="00980148">
        <w:rPr>
          <w:rFonts w:ascii="Times New Roman" w:hAnsi="Times New Roman" w:cs="Times New Roman"/>
          <w:sz w:val="24"/>
          <w:szCs w:val="24"/>
        </w:rPr>
        <w:lastRenderedPageBreak/>
        <w:t>передаче, обработке и хранении данных, гарантирующей защиту интересов личности, бизнеса и государства;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создание сквозных цифровых технологий преимущественно на основе отечественных разработок;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внедрение цифровых технологий и платформенных решений в сферах государственного управления и оказания государственных услуг, в том числе в интересах населения и субъектов малого и среднего предпринимательства, включая индивидуальных предпринимателей;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преобразование приоритетных отраслей экономики и социальной сферы, включая здравоохранение, образование, промышленность, сельское хозяйство, строительство, городское хозяйство, транспортную и энергетическую инфраструктуру, финансовые услуги, посредством внедрения цифровых технологий и платформенных решений;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создание комплексной системы финансирования проектов по разработке и (или) внедрению цифровых технологий и платформенных решений, включающей в себя венчурное финансирование и иные институты развития;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разработка и внедрение национального механизма осуществления согласованной политики государств - членов Евразийского экономического союза при реализации планов в области развития цифровой экономики.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12. Правительству Российской Федерации при разработке национальной программы в сфере культуры обратить особое внимание на необходимость: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а) укрепления российской гражданской идентичности на основе духовно-нравственных и культурных ценностей народов Российской Федерации;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б) создания (реконструкции) культурно-образовательных и музейных комплексов, включающих в себя концертные залы, театральные, музыкальные, хореографические и другие творческие школы, а также выставочные пространства;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в) обеспечения детских музыкальных, художественных, хореографических школ, училищ и школ искусств необходимыми инструментами, оборудованием и материалами;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г) продвижения талантливой молодежи в сфере музыкального искусства, в том числе посредством создания национального молодежного симфонического оркестра;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д) создания (реконструкции) культурно-досуговых организаций клубного типа на территориях сельских поселений, развития муниципальных библиотек;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е) создания виртуальных концертных залов не менее чем в 500 городах Российской Федерации;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ж) создания условий для показа национальных кинофильмов в кинозалах, расположенных в населенных пунктах с численностью населения до 500 тыс. человек;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з) подготовки кадров для организаций культуры;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и) модернизации региональных и муниципальных театров юного зрителя и кукольных театров путем их реконструкции и капитального ремонта;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к) поддержки добровольческих движений, в том числе в сфере сохранения культурного наследия народов Российской Федерации.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 xml:space="preserve">13. Правительству Российской Федерации при реализации совместно с органами </w:t>
      </w:r>
      <w:r w:rsidRPr="00980148">
        <w:rPr>
          <w:rFonts w:ascii="Times New Roman" w:hAnsi="Times New Roman" w:cs="Times New Roman"/>
          <w:sz w:val="24"/>
          <w:szCs w:val="24"/>
        </w:rPr>
        <w:lastRenderedPageBreak/>
        <w:t>государственной власти субъектов Российской Федерации национального проекта в сфере развития малого и среднего предпринимательства и поддержки индивидуальной предпринимательской инициативы обеспечить в 2024 году: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а) достижение следующего целевого показателя: увеличение численности занятых в сфере малого и среднего предпринимательства, включая индивидуальных предпринимателей, до 25 млн. человек;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б) решение следующих задач: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улучшение условий ведения предпринимательской деятельности, включая упрощение налоговой отчетности для предпринимателей, применяющих контрольно-кассовую технику;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создание цифровой платформы, ориентированной на поддержку производственной и сбытовой деятельности субъектов малого и среднего предпринимательства, включая индивидуальных предпринимателей;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совершенствование системы закупок, осуществляемых крупнейшими заказчиками у субъектов малого и среднего предпринимательства, включая индивидуальных предпринимателей;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упрощение доступа к льготному финансированию, в том числе ежегодное увеличение объема льготных кредитов, выдаваемых субъектам малого и среднего предпринимательства, включая индивидуальных предпринимателей;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создание системы акселерации субъектов малого и среднего предпринимательства, включая индивидуальных предпринимателей, в том числе инфраструктуры и сервисов поддержки, а также их ускоренное развитие в таких областях, как благоустройство городской среды, научно-технологическая сфера, социальная сфера и экология;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модернизация системы поддержки экспортеров, являющихся субъектами малого и среднего предпринимательства, включая индивидуальных предпринимателей, увеличение доли таких экспортеров в общем объеме несырьевого экспорта не менее чем до 10 процентов;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создание системы поддержки фермеров и развитие сельской кооперации;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обеспечение благоприятных условий осуществления деятельности самозанятыми гражданами посредством создания нового режима налогообложения, предусматривающего передачу информации о продажах в налоговые органы Российской Федерации в автоматическом режиме, освобождение от обязанности представлять отчетность, а также уплату единого платежа с выручки, включающего в себя страховые взносы.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14. Правительству Российской Федерации при разработке национальной программы в сфере развития международной кооперации и экспорта исходить из того, что в 2024 году необходимо обеспечить: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а) достижение следующих целей и целевых показателей: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формирование в обрабатывающей промышленности, сельском хозяйстве, сфере услуг глобальных конкурентоспособных несырьевых секторов, общая доля экспорта товаров (работ, услуг) которых составит не менее 20 процентов валового внутреннего продукта страны;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достижение объема экспорта (в стоимостном выражении) несырьевых неэнергетических товаров в размере 250 млрд. долларов США в год, в том числе продукции машиностроения - 50 млрд. долларов США в год и продукции агропромышленного комплекса - 45 млрд. долларов США в год, а также объема экспорта оказываемых услуг в размере 100 млрд. долларов США в год;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 xml:space="preserve">формирование эффективной системы разделения труда и производственной кооперации в </w:t>
      </w:r>
      <w:r w:rsidRPr="00980148">
        <w:rPr>
          <w:rFonts w:ascii="Times New Roman" w:hAnsi="Times New Roman" w:cs="Times New Roman"/>
          <w:sz w:val="24"/>
          <w:szCs w:val="24"/>
        </w:rPr>
        <w:lastRenderedPageBreak/>
        <w:t>рамках Евразийского экономического союза в целях увеличения объема торговли между государствами - членами Союза не менее чем в полтора раза и обеспечения роста объема накопленных взаимных инвестиций в полтора раза;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б) решение следующих задач: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ориентация промышленной, аграрной и торговой политики, включая применяемые механизмы государственной поддержки, на достижение международной конкурентоспособности российских товаров (работ, услуг) в целях обеспечения их присутствия на внешних рынках;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сокращение административных процедур и барьеров в сфере международной торговли, включая отмену избыточных требований при лицензировании экспорта и осуществлении валютного контроля, организация (к 2021 году) взаимодействия субъектов международной торговли с контролирующими органами по принципу "одного окна";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завершение создания гибкой линейки финансовых инструментов поддержки экспорта (к 2021 году), включая расширенное предэкспортное, экспортное и акционерное финансирование, лизинг и долгосрочные меры поддержки;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устранение логистических ограничений при экспорте товаров с использованием железнодорожного, автомобильного и морского транспорта, а также строительство (модернизация) пунктов пропуска через государственную границу Российской Федерации;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создание единой системы институтов продвижения экспорта, предусматривающей модернизацию торговых представительств Российской Федерации за рубежом;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завершение формирования в рамках Евразийского экономического союза общих рынков товаров, услуг, капитала и рабочей силы, включая окончательное устранение барьеров, ограничений и отмену изъятий в экономическом сотрудничестве, при одновременном активном использовании механизмов совместной проектной деятельности.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 xml:space="preserve">15. Правительству Российской Федерации на основе </w:t>
      </w:r>
      <w:hyperlink r:id="rId17" w:tooltip="Распоряжение Правительства РФ от 13.02.2019 N 207-р (ред. от 30.09.2022) &lt;Об утверждении Стратегии пространственного развития Российской Федерации на период до 2025 года&gt; {КонсультантПлюс}">
        <w:r w:rsidRPr="00980148">
          <w:rPr>
            <w:rFonts w:ascii="Times New Roman" w:hAnsi="Times New Roman" w:cs="Times New Roman"/>
            <w:sz w:val="24"/>
            <w:szCs w:val="24"/>
          </w:rPr>
          <w:t>стратегии</w:t>
        </w:r>
      </w:hyperlink>
      <w:r w:rsidRPr="00980148">
        <w:rPr>
          <w:rFonts w:ascii="Times New Roman" w:hAnsi="Times New Roman" w:cs="Times New Roman"/>
          <w:sz w:val="24"/>
          <w:szCs w:val="24"/>
        </w:rPr>
        <w:t xml:space="preserve"> пространственного развития Российской Федерации разработать с участием органов государственной власти субъектов Российской Федерации и до 1 октября 2018 г. утвердить комплексный </w:t>
      </w:r>
      <w:hyperlink r:id="rId18" w:tooltip="Распоряжение Правительства РФ от 30.09.2018 N 2101-р &lt;Об утверждении комплексного плана модернизации и расширения магистральной инфраструктуры на период до 2024 года&gt; ------------ Недействующая редакция {КонсультантПлюс}">
        <w:r w:rsidRPr="00980148">
          <w:rPr>
            <w:rFonts w:ascii="Times New Roman" w:hAnsi="Times New Roman" w:cs="Times New Roman"/>
            <w:sz w:val="24"/>
            <w:szCs w:val="24"/>
          </w:rPr>
          <w:t>план</w:t>
        </w:r>
      </w:hyperlink>
      <w:r w:rsidRPr="00980148">
        <w:rPr>
          <w:rFonts w:ascii="Times New Roman" w:hAnsi="Times New Roman" w:cs="Times New Roman"/>
          <w:sz w:val="24"/>
          <w:szCs w:val="24"/>
        </w:rPr>
        <w:t xml:space="preserve"> модернизации и расширения магистральной инфраструктуры, предусматривающий обеспечение в 2024 году: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а) развития транспортных коридоров "Запад - Восток" и "Север - Юг" для перевозки грузов, в том числе за счет: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строительства и модернизации российских участков автомобильных дорог, относящихся к международному транспортному маршруту "Европа - Западный Китай";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увеличения мощностей морских портов Российской Федерации, включая порты Дальневосточного, Северо-Западного, Волго-Каспийского и Азово-Черноморского бассейнов;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развития Северного морского пути и увеличения грузопотока по нему до 80 млн. тонн;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сокращения времени перевозки контейнеров железнодорожным транспортом, в частности с Дальнего Востока до западной границы Российской Федерации до семи дней, и увеличения объема транзитных перевозок контейнеров железнодорожным транспортом в четыре раза;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формирования узловых грузовых мультимодальных транспортно-логистических центров;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увеличения пропускной способности Байкало-Амурской и Транссибирской железнодорожных магистралей в полтора раза, до 180 млн. тонн;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увеличения пропускной способности железнодорожных подходов к морским портам Азово-</w:t>
      </w:r>
      <w:r w:rsidRPr="00980148">
        <w:rPr>
          <w:rFonts w:ascii="Times New Roman" w:hAnsi="Times New Roman" w:cs="Times New Roman"/>
          <w:sz w:val="24"/>
          <w:szCs w:val="24"/>
        </w:rPr>
        <w:lastRenderedPageBreak/>
        <w:t>Черноморского бассейна;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б) повышения уровня экономической связанности территории Российской Федерации посредством расширения и модернизации железнодорожной, авиационной, автодорожной, морской и речной инфраструктуры, в том числе за счет: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поэтапного развития транспортных коммуникаций между административными центрами субъектов Российской Федерации и другими городами - центрами экономического роста, включая ликвидацию инфраструктурных ограничений на имеющих перспективы развития территориях, прилегающих к таким транспортным коммуникациям;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реконструкции инфраструктуры региональных аэропортов и расширения сети межрегиональных регулярных пассажирских авиационных маршрутов, минуя Москву, до 50 процентов от общего количества внутренних регулярных авиационных маршрутов;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создания основы для развития скоростного и высокоскоростного железнодорожного сообщения между крупными городами;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увеличения пропускной способности внутренних водных путей;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в) гарантированного обеспечения доступной электроэнергией, в том числе за счет: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электрификации транспортных коридоров "Запад - Восток" и "Север - Юг", включая Байкало-Амурскую и Транссибирскую железнодорожные магистрали, во взаимосвязи с развитием транспортной инфраструктуры;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развития централизованных энергосистем, включая модернизацию генерирующих мощностей тепловых, атомных и гидроэлектростанций в соответствии с потребностями социально-экономического развития;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устойчивого энергоснабжения потребителей на территориях субъектов Российской Федерации, прежде всего Республики Крым, г. Севастополя, Калининградской области, а также субъектов Российской Федерации, входящих в состав Дальневосточного федерального округа;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развития распределенной генерации, в том числе на основе возобновляемых источников энергии, в первую очередь в удаленных и изолированных энергорайонах;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внедрения интеллектуальных систем управления электросетевым хозяйством на базе цифровых технологий.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 xml:space="preserve">16. Утратил силу. - </w:t>
      </w:r>
      <w:hyperlink r:id="rId19" w:tooltip="Указ Президента РФ от 21.07.2020 N 474 &quot;О национальных целях развития Российской Федерации на период до 2030 года&quot; {КонсультантПлюс}">
        <w:r w:rsidRPr="00980148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Pr="00980148">
        <w:rPr>
          <w:rFonts w:ascii="Times New Roman" w:hAnsi="Times New Roman" w:cs="Times New Roman"/>
          <w:sz w:val="24"/>
          <w:szCs w:val="24"/>
        </w:rPr>
        <w:t xml:space="preserve"> Президента РФ от 21.07.2020 </w:t>
      </w:r>
      <w:r w:rsidR="00980148">
        <w:rPr>
          <w:rFonts w:ascii="Times New Roman" w:hAnsi="Times New Roman" w:cs="Times New Roman"/>
          <w:sz w:val="24"/>
          <w:szCs w:val="24"/>
        </w:rPr>
        <w:t>№</w:t>
      </w:r>
      <w:r w:rsidRPr="00980148">
        <w:rPr>
          <w:rFonts w:ascii="Times New Roman" w:hAnsi="Times New Roman" w:cs="Times New Roman"/>
          <w:sz w:val="24"/>
          <w:szCs w:val="24"/>
        </w:rPr>
        <w:t xml:space="preserve"> 474.</w:t>
      </w:r>
    </w:p>
    <w:p w:rsidR="00D46317" w:rsidRPr="00980148" w:rsidRDefault="007F03F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17. Настоящий Указ вступает в силу со дня его официального опубликования.</w:t>
      </w:r>
    </w:p>
    <w:p w:rsidR="00D46317" w:rsidRPr="00980148" w:rsidRDefault="00D4631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46317" w:rsidRPr="00980148" w:rsidRDefault="007F03F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Президент</w:t>
      </w:r>
    </w:p>
    <w:p w:rsidR="00D46317" w:rsidRPr="00980148" w:rsidRDefault="007F03F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46317" w:rsidRPr="00980148" w:rsidRDefault="007F03F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В.ПУТИН</w:t>
      </w:r>
    </w:p>
    <w:p w:rsidR="00D46317" w:rsidRPr="00980148" w:rsidRDefault="007F03F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D46317" w:rsidRPr="00980148" w:rsidRDefault="007F03F6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980148">
        <w:rPr>
          <w:rFonts w:ascii="Times New Roman" w:hAnsi="Times New Roman" w:cs="Times New Roman"/>
          <w:sz w:val="24"/>
          <w:szCs w:val="24"/>
        </w:rPr>
        <w:t>7 мая 2018 года</w:t>
      </w:r>
    </w:p>
    <w:p w:rsidR="00D46317" w:rsidRPr="00980148" w:rsidRDefault="00980148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7F03F6" w:rsidRPr="00980148">
        <w:rPr>
          <w:rFonts w:ascii="Times New Roman" w:hAnsi="Times New Roman" w:cs="Times New Roman"/>
          <w:sz w:val="24"/>
          <w:szCs w:val="24"/>
        </w:rPr>
        <w:t xml:space="preserve"> 204</w:t>
      </w:r>
    </w:p>
    <w:p w:rsidR="00D46317" w:rsidRPr="00980148" w:rsidRDefault="00D4631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46317" w:rsidRPr="00980148" w:rsidRDefault="00D4631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46317" w:rsidRPr="00980148" w:rsidRDefault="00D46317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sectPr w:rsidR="00D46317" w:rsidRPr="00980148" w:rsidSect="00E34086">
      <w:footerReference w:type="default" r:id="rId20"/>
      <w:footerReference w:type="first" r:id="rId21"/>
      <w:pgSz w:w="11906" w:h="16838"/>
      <w:pgMar w:top="709" w:right="566" w:bottom="1440" w:left="1133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AA3" w:rsidRDefault="00C40AA3">
      <w:r>
        <w:separator/>
      </w:r>
    </w:p>
  </w:endnote>
  <w:endnote w:type="continuationSeparator" w:id="0">
    <w:p w:rsidR="00C40AA3" w:rsidRDefault="00C40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1116419"/>
      <w:docPartObj>
        <w:docPartGallery w:val="Page Numbers (Bottom of Page)"/>
        <w:docPartUnique/>
      </w:docPartObj>
    </w:sdtPr>
    <w:sdtEndPr/>
    <w:sdtContent>
      <w:p w:rsidR="00E34086" w:rsidRDefault="00E34086" w:rsidP="00E34086">
        <w:pPr>
          <w:pStyle w:val="a5"/>
          <w:spacing w:after="24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5BE5">
          <w:rPr>
            <w:noProof/>
          </w:rPr>
          <w:t>11</w:t>
        </w:r>
        <w:r>
          <w:fldChar w:fldCharType="end"/>
        </w:r>
      </w:p>
    </w:sdtContent>
  </w:sdt>
  <w:p w:rsidR="00E34086" w:rsidRDefault="00E3408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4086" w:rsidRDefault="00E3408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AA3" w:rsidRDefault="00C40AA3">
      <w:r>
        <w:separator/>
      </w:r>
    </w:p>
  </w:footnote>
  <w:footnote w:type="continuationSeparator" w:id="0">
    <w:p w:rsidR="00C40AA3" w:rsidRDefault="00C40A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46317"/>
    <w:rsid w:val="002B19E6"/>
    <w:rsid w:val="00401D43"/>
    <w:rsid w:val="007F03F6"/>
    <w:rsid w:val="007F5BE5"/>
    <w:rsid w:val="00980148"/>
    <w:rsid w:val="00A24573"/>
    <w:rsid w:val="00C40AA3"/>
    <w:rsid w:val="00D46317"/>
    <w:rsid w:val="00E34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FEA7113-9BC4-4FD6-8C44-DC8AA1712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98014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80148"/>
  </w:style>
  <w:style w:type="paragraph" w:styleId="a5">
    <w:name w:val="footer"/>
    <w:basedOn w:val="a"/>
    <w:link w:val="a6"/>
    <w:uiPriority w:val="99"/>
    <w:unhideWhenUsed/>
    <w:rsid w:val="0098014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801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ECCA3F4039F8580643EA1433CEF00A4D468B0DB863BBDDA16E0E4C36D8C63E43BF46A457A57CD9AF667F4F9059891250C73CD3C6AB6ED7yDU5I" TargetMode="External"/><Relationship Id="rId13" Type="http://schemas.openxmlformats.org/officeDocument/2006/relationships/hyperlink" Target="consultantplus://offline/ref=5EECCA3F4039F8580643EA1433CEF00A4F478D03BB65BBDDA16E0E4C36D8C63E43BF46A457A57DDEAE667F4F9059891250C73CD3C6AB6ED7yDU5I" TargetMode="External"/><Relationship Id="rId18" Type="http://schemas.openxmlformats.org/officeDocument/2006/relationships/hyperlink" Target="consultantplus://offline/ref=5EECCA3F4039F8580643EA1433CEF00A4D438403BE67BBDDA16E0E4C36D8C63E43BF46A457A57CDDAB667F4F9059891250C73CD3C6AB6ED7yDU5I" TargetMode="Externa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hyperlink" Target="consultantplus://offline/ref=5EECCA3F4039F8580643EA1433CEF00A4D468B0DB863BBDDA16E0E4C36D8C63E43BF46A457A57CD9AF667F4F9059891250C73CD3C6AB6ED7yDU5I" TargetMode="External"/><Relationship Id="rId12" Type="http://schemas.openxmlformats.org/officeDocument/2006/relationships/hyperlink" Target="consultantplus://offline/ref=5EECCA3F4039F8580643EA1433CEF00A4D4A8D05BC61BBDDA16E0E4C36D8C63E43BF46A457A57CDDAA667F4F9059891250C73CD3C6AB6ED7yDU5I" TargetMode="External"/><Relationship Id="rId17" Type="http://schemas.openxmlformats.org/officeDocument/2006/relationships/hyperlink" Target="consultantplus://offline/ref=5EECCA3F4039F8580643EA1433CEF00A4A418406BB65BBDDA16E0E4C36D8C63E43BF46A457A57CDCA4667F4F9059891250C73CD3C6AB6ED7yDU5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EECCA3F4039F8580643EA1433CEF00A4D41840CBF60BBDDA16E0E4C36D8C63E51BF1EA856A162DDAC73291ED6y0UFI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EECCA3F4039F8580643EA1433CEF00A4D4A8D05BC61BBDDA16E0E4C36D8C63E43BF46A457A57CDDAA667F4F9059891250C73CD3C6AB6ED7yDU5I" TargetMode="External"/><Relationship Id="rId11" Type="http://schemas.openxmlformats.org/officeDocument/2006/relationships/hyperlink" Target="consultantplus://offline/ref=5EECCA3F4039F8580643EA1433CEF00A4D428C06BF65BBDDA16E0E4C36D8C63E43BF46A457A57CDCAC667F4F9059891250C73CD3C6AB6ED7yDU5I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5EECCA3F4039F8580643EA1433CEF00A4C448401BF62BBDDA16E0E4C36D8C63E51BF1EA856A162DDAC73291ED6y0UFI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5EECCA3F4039F8580643EA1433CEF00A4D438405BC62BBDDA16E0E4C36D8C63E51BF1EA856A162DDAC73291ED6y0UFI" TargetMode="External"/><Relationship Id="rId19" Type="http://schemas.openxmlformats.org/officeDocument/2006/relationships/hyperlink" Target="consultantplus://offline/ref=5EECCA3F4039F8580643EA1433CEF00A4D468B0DB863BBDDA16E0E4C36D8C63E43BF46A457A57CD9AF667F4F9059891250C73CD3C6AB6ED7yDU5I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EECCA3F4039F8580643EA1433CEF00A4D438B0CBD66BBDDA16E0E4C36D8C63E43BF46A457A57CDCAF667F4F9059891250C73CD3C6AB6ED7yDU5I" TargetMode="External"/><Relationship Id="rId14" Type="http://schemas.openxmlformats.org/officeDocument/2006/relationships/hyperlink" Target="consultantplus://offline/ref=5EECCA3F4039F8580643EA1433CEF00A4D4A8F01BB64BBDDA16E0E4C36D8C63E43BF46A457A57CDDA9667F4F9059891250C73CD3C6AB6ED7yDU5I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5629</Words>
  <Characters>32088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Президента РФ от 07.05.2018 N 204
(ред. от 21.07.2020)
"О национальных целях и стратегических задачах развития Российской Федерации на период до 2024 года"</vt:lpstr>
    </vt:vector>
  </TitlesOfParts>
  <Company>КонсультантПлюс Версия 4023.00.09</Company>
  <LinksUpToDate>false</LinksUpToDate>
  <CharactersWithSpaces>37642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07.05.2018 N 204
(ред. от 21.07.2020)
"О национальных целях и стратегических задачах развития Российской Федерации на период до 2024 года"</dc:title>
  <cp:lastModifiedBy>Медведева Елена Сергеевна</cp:lastModifiedBy>
  <cp:revision>6</cp:revision>
  <dcterms:created xsi:type="dcterms:W3CDTF">2023-11-14T08:20:00Z</dcterms:created>
  <dcterms:modified xsi:type="dcterms:W3CDTF">2023-11-14T10:21:00Z</dcterms:modified>
</cp:coreProperties>
</file>